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PT Astra Serif" w:hAnsi="PT Astra Serif"/>
          <w:b/>
        </w:rPr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2.8pt;height:55.2pt;mso-wrap-distance-right:0pt" filled="f" o:ole="">
            <v:imagedata r:id="rId3" o:title=""/>
          </v:shape>
          <o:OLEObject Type="Embed" ProgID="CorelDRAW.Graphic.9" ShapeID="ole_rId2" DrawAspect="Content" ObjectID="_1689859576" r:id="rId2"/>
        </w:object>
      </w:r>
    </w:p>
    <w:p>
      <w:pPr>
        <w:pStyle w:val="Normal"/>
        <w:shd w:val="clear" w:color="auto" w:fill="FFFFFF"/>
        <w:ind w:firstLine="709"/>
        <w:jc w:val="center"/>
        <w:rPr>
          <w:rFonts w:ascii="PT Astra Serif" w:hAnsi="PT Astra Serif"/>
          <w:b/>
          <w:bCs/>
          <w:color w:val="000000"/>
          <w:spacing w:val="-9"/>
          <w:w w:val="105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9"/>
          <w:w w:val="105"/>
          <w:sz w:val="28"/>
          <w:szCs w:val="28"/>
        </w:rPr>
        <w:t>финансовое управление администрации города Тулы</w:t>
      </w:r>
    </w:p>
    <w:p>
      <w:pPr>
        <w:pStyle w:val="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ПРИКАЗ</w:t>
      </w:r>
    </w:p>
    <w:p>
      <w:pPr>
        <w:pStyle w:val="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10 ноября </w:t>
      </w:r>
      <w:r>
        <w:rPr>
          <w:rFonts w:ascii="PT Astra Serif" w:hAnsi="PT Astra Serif"/>
          <w:sz w:val="28"/>
          <w:szCs w:val="28"/>
        </w:rPr>
        <w:t>2025                                                                                № _</w:t>
      </w:r>
      <w:r>
        <w:rPr>
          <w:rFonts w:ascii="PT Astra Serif" w:hAnsi="PT Astra Serif"/>
          <w:sz w:val="28"/>
          <w:szCs w:val="28"/>
        </w:rPr>
        <w:t>60</w:t>
      </w:r>
      <w:r>
        <w:rPr>
          <w:rFonts w:ascii="PT Astra Serif" w:hAnsi="PT Astra Serif"/>
          <w:sz w:val="28"/>
          <w:szCs w:val="28"/>
        </w:rPr>
        <w:t>_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приказ </w:t>
      </w:r>
    </w:p>
    <w:p>
      <w:pPr>
        <w:pStyle w:val="Normal"/>
        <w:ind w:right="-36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финансового управления администрации </w:t>
      </w:r>
    </w:p>
    <w:p>
      <w:pPr>
        <w:pStyle w:val="Normal"/>
        <w:ind w:right="-36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Тулы от 05.06.2024 № 30</w:t>
      </w:r>
    </w:p>
    <w:p>
      <w:pPr>
        <w:pStyle w:val="Normal"/>
        <w:shd w:val="clear" w:color="auto" w:fill="FFFFFF"/>
        <w:ind w:firstLine="706" w:left="10" w:right="-366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706" w:left="10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>В соответствии с частями 3.7 и 3.10 статьи 2 Федерального закона от 3 ноября 2006 г. № 174-ФЗ «Об автономных учреждениях»,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приказываю: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699" w:left="10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1.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-10"/>
          <w:sz w:val="28"/>
          <w:szCs w:val="28"/>
        </w:rPr>
        <w:t>Внести в приказ финансового управления администрации города Тулы от 05</w:t>
      </w:r>
      <w:r>
        <w:rPr>
          <w:rFonts w:ascii="PT Astra Serif" w:hAnsi="PT Astra Serif"/>
          <w:color w:val="000000"/>
          <w:sz w:val="28"/>
          <w:szCs w:val="28"/>
        </w:rPr>
        <w:t xml:space="preserve">.06.2024 № 30 </w:t>
      </w:r>
      <w:r>
        <w:rPr>
          <w:rFonts w:ascii="PT Astra Serif" w:hAnsi="PT Astra Serif"/>
          <w:bCs/>
          <w:color w:val="000000"/>
          <w:sz w:val="28"/>
          <w:szCs w:val="28"/>
        </w:rPr>
        <w:t>«Об утверждении порядка санкционирования расходов муниципальных бюджетных учреждений и муниципальных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 следующее изменение: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699" w:left="10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приложение № 2 к порядку санкционирования расходов муниципальных бюджетных учреждений и муниципальных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 изложить в новой редакции (приложение).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706" w:left="10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2. Приказ вступает в силу со дня официального опубликования и распространяется на правоотношения, возникшие с 22 октября 2025 г.</w:t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  <w:r>
        <w:rPr>
          <w:rFonts w:ascii="PT Astra Serif" w:hAnsi="PT Astra Serif"/>
          <w:color w:val="000000"/>
          <w:spacing w:val="-16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  <w:r>
        <w:rPr>
          <w:rFonts w:ascii="PT Astra Serif" w:hAnsi="PT Astra Serif"/>
          <w:color w:val="000000"/>
          <w:spacing w:val="-16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Тулы                                                                    И.Д. Дробот</w:t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2"/>
          <w:szCs w:val="22"/>
        </w:rPr>
        <w:t xml:space="preserve">Приложение к </w:t>
      </w:r>
    </w:p>
    <w:p>
      <w:pPr>
        <w:pStyle w:val="Normal"/>
        <w:shd w:val="clear" w:color="auto" w:fill="FFFFFF"/>
        <w:tabs>
          <w:tab w:val="clear" w:pos="708"/>
          <w:tab w:val="left" w:pos="984" w:leader="none"/>
        </w:tabs>
        <w:spacing w:lineRule="exact" w:line="312"/>
        <w:jc w:val="center"/>
        <w:rPr/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="PT Astra Serif" w:hAnsi="PT Astra Serif"/>
          <w:sz w:val="22"/>
          <w:szCs w:val="22"/>
        </w:rPr>
        <w:t xml:space="preserve">приказу от </w:t>
      </w:r>
      <w:r>
        <w:rPr>
          <w:rFonts w:ascii="PT Astra Serif" w:hAnsi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/>
          <w:sz w:val="22"/>
          <w:szCs w:val="22"/>
          <w:u w:val="single"/>
        </w:rPr>
        <w:t>10.11.2025</w:t>
      </w:r>
      <w:r>
        <w:rPr>
          <w:rFonts w:ascii="PT Astra Serif" w:hAnsi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/>
          <w:sz w:val="22"/>
          <w:szCs w:val="22"/>
        </w:rPr>
        <w:t>№</w:t>
      </w:r>
      <w:r>
        <w:rPr>
          <w:rFonts w:ascii="PT Astra Serif" w:hAnsi="PT Astra Serif"/>
          <w:sz w:val="22"/>
          <w:szCs w:val="22"/>
          <w:u w:val="single"/>
        </w:rPr>
        <w:t xml:space="preserve">  </w:t>
      </w:r>
      <w:r>
        <w:rPr>
          <w:rFonts w:ascii="PT Astra Serif" w:hAnsi="PT Astra Serif"/>
          <w:sz w:val="22"/>
          <w:szCs w:val="22"/>
          <w:u w:val="single"/>
        </w:rPr>
        <w:t>60</w:t>
      </w:r>
      <w:r>
        <w:rPr>
          <w:rFonts w:ascii="PT Astra Serif" w:hAnsi="PT Astra Serif"/>
          <w:sz w:val="22"/>
          <w:szCs w:val="22"/>
          <w:u w:val="single"/>
        </w:rPr>
        <w:t xml:space="preserve">          </w:t>
      </w:r>
      <w:r>
        <w:rPr>
          <w:rFonts w:ascii="PT Astra Serif" w:hAnsi="PT Astra Serif"/>
          <w:sz w:val="22"/>
          <w:szCs w:val="22"/>
        </w:rPr>
        <w:t xml:space="preserve">             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Приложение № 2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к Порядку санкционирования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расходов муниципальных бюджетных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учреждений и муниципальных автономных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учреждений, лицевые счета которым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 xml:space="preserve">открыты в финансовом управлении 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администрации города Тулы, источником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финансового обеспечения которых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являются субсидии, полученные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в соответствии с абзацем вторым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пункта 1 статьи 78.1 и статьей 78.2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Бюджетного кодекса Российской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Федерации, утвержденному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 xml:space="preserve">приказом финансового управления 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администрации города Тулы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 xml:space="preserve"> </w:t>
      </w:r>
      <w:r>
        <w:rPr>
          <w:rFonts w:eastAsia="Calibri" w:cs="" w:ascii="PT Astra Serif" w:hAnsi="PT Astra Serif" w:cstheme="minorBidi" w:eastAsiaTheme="minorHAnsi"/>
          <w:sz w:val="22"/>
          <w:szCs w:val="22"/>
          <w:lang w:eastAsia="en-US"/>
        </w:rPr>
        <w:t>от 05.06.2024 № 30</w:t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ind w:firstLine="709"/>
        <w:jc w:val="right"/>
        <w:rPr>
          <w:rFonts w:ascii="PT Astra Serif" w:hAnsi="PT Astra Serif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7088" w:leader="none"/>
          <w:tab w:val="left" w:pos="7938" w:leader="none"/>
        </w:tabs>
        <w:ind w:firstLine="709"/>
        <w:jc w:val="center"/>
        <w:rPr>
          <w:rFonts w:ascii="PT Astra Serif" w:hAnsi="PT Astra Serif" w:eastAsia="Calibri" w:cs="PT Astra Serif" w:eastAsiaTheme="minorHAnsi"/>
          <w:lang w:eastAsia="en-US"/>
        </w:rPr>
      </w:pPr>
      <w:r>
        <w:rPr>
          <w:rFonts w:eastAsia="Calibri" w:cs="PT Astra Serif" w:ascii="PT Astra Serif" w:hAnsi="PT Astra Serif" w:eastAsiaTheme="minorHAnsi"/>
          <w:lang w:eastAsia="en-US"/>
        </w:rPr>
        <w:t>ПЕРЕЧЕНЬ КОДОВ ЦЕЛЕВЫХ СУБСИДИЙ, ПРЕДОСТАВЛЯЕМЫХ МУНИЦИПАЛЬНЫМ БЮДЖЕТНЫМ УЧРЕЖДЕНИЯМ И МУНИЦИПАЛЬНЫМ АВТОНОМНЫМ УЧРЕЖДЕНИЯМ В СООТВЕТСТВИИ С АБЗАЦЕМ ВТОРЫМ ПУНКТА 1 СТАТЬИ 78.1 И СТАТЬЕЙ 78.2 БЮДЖЕТНОГО КОДЕКСА РОССИЙСКОЙ ФЕДЕРАЦИИ</w:t>
      </w:r>
    </w:p>
    <w:p>
      <w:pPr>
        <w:pStyle w:val="Normal"/>
        <w:tabs>
          <w:tab w:val="clear" w:pos="708"/>
          <w:tab w:val="left" w:pos="7088" w:leader="none"/>
        </w:tabs>
        <w:ind w:firstLine="709"/>
        <w:jc w:val="center"/>
        <w:rPr>
          <w:rFonts w:ascii="PT Astra Serif" w:hAnsi="PT Astra Serif" w:eastAsia="Calibri" w:cs="PT Astra Serif" w:eastAsiaTheme="minorHAnsi"/>
          <w:lang w:eastAsia="en-US"/>
        </w:rPr>
      </w:pPr>
      <w:r>
        <w:rPr>
          <w:rFonts w:eastAsia="Calibri" w:cs="PT Astra Serif" w:eastAsiaTheme="minorHAnsi" w:ascii="PT Astra Serif" w:hAnsi="PT Astra Serif"/>
          <w:lang w:eastAsia="en-US"/>
        </w:rPr>
      </w:r>
    </w:p>
    <w:tbl>
      <w:tblPr>
        <w:tblStyle w:val="af4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7"/>
        <w:gridCol w:w="5665"/>
        <w:gridCol w:w="1422"/>
      </w:tblGrid>
      <w:tr>
        <w:trPr>
          <w:trHeight w:val="505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Организация-учредитель</w:t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Calibri" w:ascii="PT Astra Serif" w:hAnsi="PT Astra Serif" w:eastAsiaTheme="minorHAnsi"/>
                <w:kern w:val="0"/>
                <w:lang w:val="ru-RU" w:eastAsia="en-US" w:bidi="ar-SA"/>
              </w:rPr>
              <w:t>Наименование субсидии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Calibri" w:ascii="PT Astra Serif" w:hAnsi="PT Astra Serif" w:eastAsiaTheme="minorHAnsi"/>
                <w:kern w:val="0"/>
                <w:lang w:val="ru-RU" w:eastAsia="en-US" w:bidi="ar-SA"/>
              </w:rPr>
              <w:t>Код субсидии</w:t>
            </w:r>
          </w:p>
        </w:tc>
      </w:tr>
      <w:tr>
        <w:trPr>
          <w:trHeight w:val="505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АДМИНИСТРАЦИЯ ГОРОДА ТУЛЫ</w:t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помещений, благоустройство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ind w:right="17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853210001</w:t>
            </w:r>
          </w:p>
        </w:tc>
      </w:tr>
      <w:tr>
        <w:trPr>
          <w:trHeight w:val="264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приобретение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ind w:firstLine="376" w:left="-376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853210002</w:t>
            </w:r>
          </w:p>
        </w:tc>
      </w:tr>
      <w:tr>
        <w:trPr>
          <w:trHeight w:val="264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проведение мероприятий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853210003</w:t>
            </w:r>
          </w:p>
        </w:tc>
      </w:tr>
      <w:tr>
        <w:trPr>
          <w:trHeight w:val="264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прочие расходы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853210005</w:t>
            </w:r>
          </w:p>
        </w:tc>
      </w:tr>
      <w:tr>
        <w:trPr>
          <w:trHeight w:val="517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помещений, благоустройство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853220001</w:t>
            </w:r>
          </w:p>
        </w:tc>
      </w:tr>
      <w:tr>
        <w:trPr>
          <w:trHeight w:val="505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УПРАВЛЕНИЕ КУЛЬТУРЫ И ТУРИЗМА</w:t>
            </w:r>
          </w:p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АДМИНИСТРАЦИИ ГОРОДА ТУЛЫ</w:t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помещений, благоустройство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862210001</w:t>
            </w:r>
          </w:p>
        </w:tc>
      </w:tr>
      <w:tr>
        <w:trPr>
          <w:trHeight w:val="264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приобретение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862210002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проведение мероприятий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862210003</w:t>
            </w:r>
          </w:p>
        </w:tc>
      </w:tr>
      <w:tr>
        <w:trPr>
          <w:trHeight w:val="505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прочие расходы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862210005</w:t>
            </w:r>
          </w:p>
        </w:tc>
      </w:tr>
      <w:tr>
        <w:trPr>
          <w:trHeight w:val="505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обеспечение безопасности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862210006</w:t>
            </w:r>
          </w:p>
        </w:tc>
      </w:tr>
      <w:tr>
        <w:trPr>
          <w:trHeight w:val="505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УПРАВЛЕНИЕ ОБРАЗОВАНИЯ АДМИНИСТРАЦИИ ГОРОДА ТУЛЫ</w:t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863210001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приобретение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863210002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проведение мероприятий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863210003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противопожарные мероприятия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863210004</w:t>
            </w:r>
          </w:p>
        </w:tc>
      </w:tr>
      <w:tr>
        <w:trPr>
          <w:trHeight w:val="240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прочие расходы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863210005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содержание нового здания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863210006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бесплатное горячее питание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863210007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благоустройство территории и устройство внешних инженерных сетей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863210008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мероприятия по антитеррористической защищенности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863210009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оформление пространства, брендирование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863210010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863220001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приобретение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863220004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проведение мероприятий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863220005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противопожарные мероприятия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863220007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прочие выплаты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863220008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УПРАВЛЕНИЕ ФИЗКУЛЬТУРЫ И СПОРТА АДМИНИСТРАЦИИ ГОРОДА ТУЛЫ</w:t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помещений, благоустройство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884210001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приобретение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884210002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проведение мероприятий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884210003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прочие расходы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884210005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both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ремонт зданий и помещений (остатки прошлых лет)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884220001</w:t>
            </w:r>
          </w:p>
        </w:tc>
      </w:tr>
      <w:tr>
        <w:trPr>
          <w:trHeight w:val="252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УПРАВЛЕНИЕ ПО ГОРОДСКОМУ ХОЗЯЙСТВУ АДМИНИСТРАЦИИ ГОРОДА ТУЛЫ</w:t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приобретение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867210002</w:t>
            </w:r>
          </w:p>
        </w:tc>
      </w:tr>
      <w:tr>
        <w:trPr>
          <w:trHeight w:val="281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Субсидии на капитальные вложения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867210003</w:t>
            </w:r>
          </w:p>
        </w:tc>
      </w:tr>
      <w:tr>
        <w:trPr>
          <w:trHeight w:val="281" w:hRule="atLeast"/>
        </w:trPr>
        <w:tc>
          <w:tcPr>
            <w:tcW w:w="2547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cstheme="minorBidi" w:eastAsiaTheme="minorHAnsi" w:ascii="PT Astra Serif" w:hAnsi="PT Astra Serif"/>
                <w:lang w:eastAsia="en-US"/>
              </w:rPr>
            </w:r>
          </w:p>
        </w:tc>
        <w:tc>
          <w:tcPr>
            <w:tcW w:w="5665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left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rFonts w:eastAsia="Calibri" w:cs="" w:ascii="PT Astra Serif" w:hAnsi="PT Astra Serif" w:cstheme="minorBidi" w:eastAsiaTheme="minorHAnsi"/>
                <w:kern w:val="0"/>
                <w:lang w:val="ru-RU" w:eastAsia="en-US" w:bidi="ar-SA"/>
              </w:rPr>
              <w:t>Субсидия на проведение работ по подключению к линиям связи, электро- и теплоснабжения, сетям инженерно-технического обеспечения</w:t>
            </w: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88" w:leader="none"/>
              </w:tabs>
              <w:suppressAutoHyphens w:val="true"/>
              <w:spacing w:before="0" w:after="0"/>
              <w:jc w:val="center"/>
              <w:rPr>
                <w:rFonts w:ascii="PT Astra Serif" w:hAnsi="PT Astra Serif" w:eastAsia="Calibri" w:cs="" w:cstheme="minorBidi" w:eastAsiaTheme="minorHAnsi"/>
                <w:lang w:eastAsia="en-US"/>
              </w:rPr>
            </w:pPr>
            <w:r>
              <w:rPr>
                <w:kern w:val="0"/>
                <w:lang w:val="ru-RU" w:bidi="ar-SA"/>
              </w:rPr>
              <w:t>867210004</w:t>
            </w:r>
          </w:p>
        </w:tc>
      </w:tr>
    </w:tbl>
    <w:p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787453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77" w:leader="none"/>
        <w:tab w:val="left" w:pos="5976" w:leader="none"/>
        <w:tab w:val="center" w:pos="7285" w:leader="none"/>
        <w:tab w:val="right" w:pos="9355" w:leader="none"/>
      </w:tabs>
      <w:rPr/>
    </w:pPr>
    <w:r>
      <w:rPr/>
      <w:tab/>
      <w:tab/>
      <w:tab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4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c7987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ac7987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ac7987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c7987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aa5b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aa5b9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929e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5929e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5929e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ac7987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ac7987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c7987"/>
    <w:pPr/>
    <w:rPr>
      <w:rFonts w:ascii="Segoe UI" w:hAnsi="Segoe UI" w:cs="Segoe UI"/>
      <w:sz w:val="18"/>
      <w:szCs w:val="18"/>
    </w:rPr>
  </w:style>
  <w:style w:type="paragraph" w:styleId="Style21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aa5b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aa5b9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5e42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Table Grid"/>
    <w:basedOn w:val="a1"/>
    <w:uiPriority w:val="39"/>
    <w:rsid w:val="00ef4c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D503-5A19-4EC7-9285-A9A22EC6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Application>LibreOffice/25.2.3.2$Linux_X86_64 LibreOffice_project/520$Build-2</Application>
  <AppVersion>15.0000</AppVersion>
  <Pages>3</Pages>
  <Words>565</Words>
  <Characters>3986</Characters>
  <CharactersWithSpaces>4899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2023-11-27T14:12:00Z</dcterms:created>
  <dc:creator>SafronovaMV</dc:creator>
  <dc:description/>
  <dc:language>ru-RU</dc:language>
  <cp:lastModifiedBy/>
  <cp:lastPrinted>2025-11-06T16:09:48Z</cp:lastPrinted>
  <dcterms:modified xsi:type="dcterms:W3CDTF">2025-11-10T15:07:28Z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